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40" w:line="540" w:lineRule="exact"/>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我校</w:t>
      </w:r>
      <w:r>
        <w:rPr>
          <w:rFonts w:hint="eastAsia" w:asciiTheme="minorEastAsia" w:hAnsiTheme="minorEastAsia" w:eastAsiaTheme="minorEastAsia" w:cstheme="minorEastAsia"/>
          <w:b w:val="0"/>
          <w:bCs w:val="0"/>
          <w:sz w:val="24"/>
          <w:szCs w:val="24"/>
        </w:rPr>
        <w:t>毕业生的大学生医保由毕业生自行办理暂停和转接，请同学们按要求及时办理。办理流程和注意事项如下：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0" w:afterAutospacing="0" w:line="540" w:lineRule="exact"/>
        <w:ind w:right="0" w:firstLine="482" w:firstLineChars="200"/>
        <w:textAlignment w:val="auto"/>
        <w:rPr>
          <w:rFonts w:hint="eastAsia" w:asciiTheme="minorEastAsia" w:hAnsiTheme="minorEastAsia" w:eastAsiaTheme="minorEastAsia" w:cstheme="minorEastAsia"/>
          <w:b/>
          <w:bCs/>
          <w:sz w:val="24"/>
          <w:szCs w:val="24"/>
        </w:rPr>
      </w:pPr>
      <w:r>
        <w:rPr>
          <w:rStyle w:val="5"/>
          <w:rFonts w:hint="eastAsia" w:asciiTheme="minorEastAsia" w:hAnsiTheme="minorEastAsia" w:eastAsiaTheme="minorEastAsia" w:cstheme="minorEastAsia"/>
          <w:b/>
          <w:bCs/>
          <w:sz w:val="24"/>
          <w:szCs w:val="24"/>
        </w:rPr>
        <w:t>（一）暂停大学生医保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0" w:afterAutospacing="0" w:line="540" w:lineRule="exact"/>
        <w:ind w:right="0" w:firstLine="482" w:firstLineChars="200"/>
        <w:textAlignment w:val="auto"/>
        <w:rPr>
          <w:rFonts w:hint="eastAsia" w:asciiTheme="minorEastAsia" w:hAnsiTheme="minorEastAsia" w:eastAsiaTheme="minorEastAsia" w:cstheme="minorEastAsia"/>
          <w:b/>
          <w:bCs/>
          <w:sz w:val="24"/>
          <w:szCs w:val="24"/>
        </w:rPr>
      </w:pPr>
      <w:r>
        <w:rPr>
          <w:rStyle w:val="5"/>
          <w:rFonts w:hint="eastAsia" w:asciiTheme="minorEastAsia" w:hAnsiTheme="minorEastAsia" w:eastAsiaTheme="minorEastAsia" w:cstheme="minorEastAsia"/>
          <w:b/>
          <w:bCs/>
          <w:color w:val="C20000"/>
          <w:sz w:val="24"/>
          <w:szCs w:val="24"/>
        </w:rPr>
        <w:t>1.关注“湖北医疗保障”微信公众号</w:t>
      </w:r>
    </w:p>
    <w:p>
      <w:pPr>
        <w:keepNext w:val="0"/>
        <w:keepLines w:val="0"/>
        <w:pageBreakBefore w:val="0"/>
        <w:widowControl/>
        <w:suppressLineNumbers w:val="0"/>
        <w:kinsoku/>
        <w:wordWrap/>
        <w:overflowPunct/>
        <w:topLinePunct w:val="0"/>
        <w:autoSpaceDE/>
        <w:autoSpaceDN/>
        <w:bidi w:val="0"/>
        <w:adjustRightInd/>
        <w:snapToGrid/>
        <w:spacing w:after="140" w:line="240" w:lineRule="auto"/>
        <w:ind w:firstLine="482" w:firstLineChars="200"/>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117475</wp:posOffset>
            </wp:positionV>
            <wp:extent cx="4987925" cy="1934210"/>
            <wp:effectExtent l="0" t="0" r="14605" b="13970"/>
            <wp:wrapSquare wrapText="bothSides"/>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4"/>
                    <a:srcRect l="863" t="16342" r="3612"/>
                    <a:stretch>
                      <a:fillRect/>
                    </a:stretch>
                  </pic:blipFill>
                  <pic:spPr>
                    <a:xfrm>
                      <a:off x="0" y="0"/>
                      <a:ext cx="4987925" cy="1934210"/>
                    </a:xfrm>
                    <a:prstGeom prst="rect">
                      <a:avLst/>
                    </a:prstGeom>
                  </pic:spPr>
                </pic:pic>
              </a:graphicData>
            </a:graphic>
          </wp:anchor>
        </w:drawing>
      </w:r>
      <w:r>
        <w:rPr>
          <w:rStyle w:val="5"/>
          <w:rFonts w:hint="eastAsia" w:asciiTheme="minorEastAsia" w:hAnsiTheme="minorEastAsia" w:eastAsiaTheme="minorEastAsia" w:cstheme="minorEastAsia"/>
          <w:b/>
          <w:bCs/>
          <w:color w:val="C20000"/>
          <w:sz w:val="24"/>
          <w:szCs w:val="24"/>
        </w:rPr>
        <w:t>2.进入公众号，根据引导程序进行信息授权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65"/>
        <w:textAlignment w:val="auto"/>
        <w:rPr>
          <w:rStyle w:val="5"/>
          <w:rFonts w:hint="eastAsia" w:asciiTheme="minorEastAsia" w:hAnsiTheme="minorEastAsia" w:eastAsiaTheme="minorEastAsia" w:cstheme="minorEastAsia"/>
          <w:b w:val="0"/>
          <w:bCs w:val="0"/>
          <w:color w:val="C20000"/>
          <w:sz w:val="24"/>
          <w:szCs w:val="24"/>
        </w:rPr>
      </w:pPr>
      <w:r>
        <w:rPr>
          <w:rFonts w:hint="eastAsia" w:asciiTheme="minorEastAsia" w:hAnsiTheme="minorEastAsia" w:eastAsiaTheme="minorEastAsia" w:cstheme="minorEastAsia"/>
          <w:b w:val="0"/>
          <w:bCs w:val="0"/>
          <w:sz w:val="24"/>
          <w:szCs w:val="24"/>
          <w:lang w:eastAsia="zh-CN"/>
        </w:rPr>
        <w:drawing>
          <wp:anchor distT="0" distB="0" distL="114300" distR="114300" simplePos="0" relativeHeight="251660288" behindDoc="0" locked="0" layoutInCell="1" allowOverlap="1">
            <wp:simplePos x="0" y="0"/>
            <wp:positionH relativeFrom="column">
              <wp:posOffset>577850</wp:posOffset>
            </wp:positionH>
            <wp:positionV relativeFrom="paragraph">
              <wp:posOffset>198755</wp:posOffset>
            </wp:positionV>
            <wp:extent cx="4117975" cy="5140960"/>
            <wp:effectExtent l="0" t="0" r="9525" b="10160"/>
            <wp:wrapSquare wrapText="bothSides"/>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5"/>
                    <a:srcRect t="2098" r="1012"/>
                    <a:stretch>
                      <a:fillRect/>
                    </a:stretch>
                  </pic:blipFill>
                  <pic:spPr>
                    <a:xfrm>
                      <a:off x="0" y="0"/>
                      <a:ext cx="4117975" cy="5140960"/>
                    </a:xfrm>
                    <a:prstGeom prst="rect">
                      <a:avLst/>
                    </a:prstGeom>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65"/>
        <w:textAlignment w:val="auto"/>
        <w:rPr>
          <w:rStyle w:val="5"/>
          <w:rFonts w:hint="eastAsia" w:asciiTheme="minorEastAsia" w:hAnsiTheme="minorEastAsia" w:eastAsiaTheme="minorEastAsia" w:cstheme="minorEastAsia"/>
          <w:b w:val="0"/>
          <w:bCs w:val="0"/>
          <w:color w:val="C2000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65"/>
        <w:textAlignment w:val="auto"/>
        <w:rPr>
          <w:rStyle w:val="5"/>
          <w:rFonts w:hint="eastAsia" w:asciiTheme="minorEastAsia" w:hAnsiTheme="minorEastAsia" w:eastAsiaTheme="minorEastAsia" w:cstheme="minorEastAsia"/>
          <w:b w:val="0"/>
          <w:bCs w:val="0"/>
          <w:color w:val="C2000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65"/>
        <w:textAlignment w:val="auto"/>
        <w:rPr>
          <w:rStyle w:val="5"/>
          <w:rFonts w:hint="eastAsia" w:asciiTheme="minorEastAsia" w:hAnsiTheme="minorEastAsia" w:eastAsiaTheme="minorEastAsia" w:cstheme="minorEastAsia"/>
          <w:b w:val="0"/>
          <w:bCs w:val="0"/>
          <w:color w:val="C2000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65"/>
        <w:textAlignment w:val="auto"/>
        <w:rPr>
          <w:rStyle w:val="5"/>
          <w:rFonts w:hint="eastAsia" w:asciiTheme="minorEastAsia" w:hAnsiTheme="minorEastAsia" w:eastAsiaTheme="minorEastAsia" w:cstheme="minorEastAsia"/>
          <w:b w:val="0"/>
          <w:bCs w:val="0"/>
          <w:color w:val="C2000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65"/>
        <w:textAlignment w:val="auto"/>
        <w:rPr>
          <w:rStyle w:val="5"/>
          <w:rFonts w:hint="eastAsia" w:asciiTheme="minorEastAsia" w:hAnsiTheme="minorEastAsia" w:eastAsiaTheme="minorEastAsia" w:cstheme="minorEastAsia"/>
          <w:b w:val="0"/>
          <w:bCs w:val="0"/>
          <w:color w:val="C2000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65"/>
        <w:textAlignment w:val="auto"/>
        <w:rPr>
          <w:rStyle w:val="5"/>
          <w:rFonts w:hint="eastAsia" w:asciiTheme="minorEastAsia" w:hAnsiTheme="minorEastAsia" w:eastAsiaTheme="minorEastAsia" w:cstheme="minorEastAsia"/>
          <w:b w:val="0"/>
          <w:bCs w:val="0"/>
          <w:color w:val="C2000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65"/>
        <w:textAlignment w:val="auto"/>
        <w:rPr>
          <w:rStyle w:val="5"/>
          <w:rFonts w:hint="eastAsia" w:asciiTheme="minorEastAsia" w:hAnsiTheme="minorEastAsia" w:eastAsiaTheme="minorEastAsia" w:cstheme="minorEastAsia"/>
          <w:b w:val="0"/>
          <w:bCs w:val="0"/>
          <w:color w:val="C2000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65"/>
        <w:textAlignment w:val="auto"/>
        <w:rPr>
          <w:rStyle w:val="5"/>
          <w:rFonts w:hint="eastAsia" w:asciiTheme="minorEastAsia" w:hAnsiTheme="minorEastAsia" w:eastAsiaTheme="minorEastAsia" w:cstheme="minorEastAsia"/>
          <w:b w:val="0"/>
          <w:bCs w:val="0"/>
          <w:color w:val="C2000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65"/>
        <w:textAlignment w:val="auto"/>
        <w:rPr>
          <w:rStyle w:val="5"/>
          <w:rFonts w:hint="eastAsia" w:asciiTheme="minorEastAsia" w:hAnsiTheme="minorEastAsia" w:eastAsiaTheme="minorEastAsia" w:cstheme="minorEastAsia"/>
          <w:b w:val="0"/>
          <w:bCs w:val="0"/>
          <w:color w:val="C2000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65"/>
        <w:textAlignment w:val="auto"/>
        <w:rPr>
          <w:rStyle w:val="5"/>
          <w:rFonts w:hint="eastAsia" w:asciiTheme="minorEastAsia" w:hAnsiTheme="minorEastAsia" w:eastAsiaTheme="minorEastAsia" w:cstheme="minorEastAsia"/>
          <w:b w:val="0"/>
          <w:bCs w:val="0"/>
          <w:color w:val="C2000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65"/>
        <w:textAlignment w:val="auto"/>
        <w:rPr>
          <w:rStyle w:val="5"/>
          <w:rFonts w:hint="eastAsia" w:asciiTheme="minorEastAsia" w:hAnsiTheme="minorEastAsia" w:eastAsiaTheme="minorEastAsia" w:cstheme="minorEastAsia"/>
          <w:b w:val="0"/>
          <w:bCs w:val="0"/>
          <w:color w:val="C2000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65"/>
        <w:textAlignment w:val="auto"/>
        <w:rPr>
          <w:rStyle w:val="5"/>
          <w:rFonts w:hint="eastAsia" w:asciiTheme="minorEastAsia" w:hAnsiTheme="minorEastAsia" w:eastAsiaTheme="minorEastAsia" w:cstheme="minorEastAsia"/>
          <w:b w:val="0"/>
          <w:bCs w:val="0"/>
          <w:color w:val="C2000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65"/>
        <w:textAlignment w:val="auto"/>
        <w:rPr>
          <w:rStyle w:val="5"/>
          <w:rFonts w:hint="eastAsia" w:asciiTheme="minorEastAsia" w:hAnsiTheme="minorEastAsia" w:eastAsiaTheme="minorEastAsia" w:cstheme="minorEastAsia"/>
          <w:b w:val="0"/>
          <w:bCs w:val="0"/>
          <w:color w:val="C2000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0" w:afterAutospacing="0" w:line="540" w:lineRule="exact"/>
        <w:ind w:right="0" w:firstLine="482" w:firstLineChars="200"/>
        <w:textAlignment w:val="auto"/>
        <w:rPr>
          <w:rFonts w:hint="eastAsia" w:asciiTheme="minorEastAsia" w:hAnsiTheme="minorEastAsia" w:eastAsiaTheme="minorEastAsia" w:cstheme="minorEastAsia"/>
          <w:b/>
          <w:bCs/>
          <w:sz w:val="24"/>
          <w:szCs w:val="24"/>
        </w:rPr>
      </w:pPr>
      <w:r>
        <w:rPr>
          <w:rStyle w:val="5"/>
          <w:rFonts w:hint="eastAsia" w:asciiTheme="minorEastAsia" w:hAnsiTheme="minorEastAsia" w:eastAsiaTheme="minorEastAsia" w:cstheme="minorEastAsia"/>
          <w:b/>
          <w:bCs/>
          <w:color w:val="C20000"/>
          <w:sz w:val="24"/>
          <w:szCs w:val="24"/>
        </w:rPr>
        <w:t>3.在公众号“在线办理”板块选择“参保暂停”</w:t>
      </w:r>
    </w:p>
    <w:p>
      <w:pPr>
        <w:keepNext w:val="0"/>
        <w:keepLines w:val="0"/>
        <w:pageBreakBefore w:val="0"/>
        <w:widowControl/>
        <w:suppressLineNumbers w:val="0"/>
        <w:kinsoku/>
        <w:wordWrap/>
        <w:overflowPunct/>
        <w:topLinePunct w:val="0"/>
        <w:autoSpaceDE/>
        <w:autoSpaceDN/>
        <w:bidi w:val="0"/>
        <w:adjustRightInd/>
        <w:snapToGrid/>
        <w:spacing w:after="140" w:line="240" w:lineRule="auto"/>
        <w:jc w:val="left"/>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drawing>
          <wp:anchor distT="0" distB="0" distL="114300" distR="114300" simplePos="0" relativeHeight="251661312" behindDoc="0" locked="0" layoutInCell="1" allowOverlap="1">
            <wp:simplePos x="0" y="0"/>
            <wp:positionH relativeFrom="column">
              <wp:posOffset>635</wp:posOffset>
            </wp:positionH>
            <wp:positionV relativeFrom="paragraph">
              <wp:posOffset>98425</wp:posOffset>
            </wp:positionV>
            <wp:extent cx="5273040" cy="4827270"/>
            <wp:effectExtent l="0" t="0" r="10160" b="10160"/>
            <wp:wrapSquare wrapText="bothSides"/>
            <wp:docPr id="7" name="图片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
                    <pic:cNvPicPr>
                      <a:picLocks noChangeAspect="1"/>
                    </pic:cNvPicPr>
                  </pic:nvPicPr>
                  <pic:blipFill>
                    <a:blip r:embed="rId6"/>
                    <a:stretch>
                      <a:fillRect/>
                    </a:stretch>
                  </pic:blipFill>
                  <pic:spPr>
                    <a:xfrm>
                      <a:off x="0" y="0"/>
                      <a:ext cx="5273040" cy="4827270"/>
                    </a:xfrm>
                    <a:prstGeom prst="rect">
                      <a:avLst/>
                    </a:prstGeom>
                  </pic:spPr>
                </pic:pic>
              </a:graphicData>
            </a:graphic>
          </wp:anchor>
        </w:drawing>
      </w:r>
      <w:r>
        <w:rPr>
          <w:rFonts w:hint="eastAsia" w:asciiTheme="minorEastAsia" w:hAnsiTheme="minorEastAsia" w:eastAsiaTheme="minorEastAsia" w:cstheme="minorEastAsia"/>
          <w:b w:val="0"/>
          <w:bCs w:val="0"/>
          <w:kern w:val="0"/>
          <w:sz w:val="24"/>
          <w:szCs w:val="24"/>
          <w:lang w:val="en-US" w:eastAsia="zh-CN" w:bidi="ar"/>
        </w:rPr>
        <w:drawing>
          <wp:inline distT="0" distB="0" distL="114300" distR="114300">
            <wp:extent cx="304800" cy="304800"/>
            <wp:effectExtent l="0" t="0" r="0" b="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Style w:val="5"/>
          <w:rFonts w:hint="eastAsia" w:asciiTheme="minorEastAsia" w:hAnsiTheme="minorEastAsia" w:eastAsiaTheme="minorEastAsia" w:cstheme="minorEastAsia"/>
          <w:b/>
          <w:bCs/>
          <w:color w:val="C20000"/>
          <w:sz w:val="24"/>
          <w:szCs w:val="24"/>
        </w:rPr>
        <w:t>4.按提示输入信息后提交，即完成大学生医保暂停。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0" w:afterAutospacing="0" w:line="540" w:lineRule="exact"/>
        <w:ind w:left="0" w:right="0" w:firstLine="465"/>
        <w:textAlignment w:val="auto"/>
        <w:rPr>
          <w:rFonts w:hint="eastAsia" w:asciiTheme="minorEastAsia" w:hAnsiTheme="minorEastAsia" w:eastAsiaTheme="minorEastAsia" w:cstheme="minorEastAsia"/>
          <w:b/>
          <w:bCs/>
          <w:sz w:val="24"/>
          <w:szCs w:val="24"/>
        </w:rPr>
      </w:pPr>
      <w:r>
        <w:rPr>
          <w:rStyle w:val="5"/>
          <w:rFonts w:hint="eastAsia" w:asciiTheme="minorEastAsia" w:hAnsiTheme="minorEastAsia" w:eastAsiaTheme="minorEastAsia" w:cstheme="minorEastAsia"/>
          <w:b/>
          <w:bCs/>
          <w:color w:val="C20000"/>
          <w:sz w:val="24"/>
          <w:szCs w:val="24"/>
        </w:rPr>
        <w:t>温馨提示：本操作步骤不完成，则无法进入下一环节操作！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40" w:afterAutospacing="0" w:line="540" w:lineRule="exact"/>
        <w:ind w:left="0" w:right="0" w:firstLine="465"/>
        <w:textAlignment w:val="auto"/>
        <w:rPr>
          <w:rFonts w:hint="eastAsia" w:asciiTheme="minorEastAsia" w:hAnsiTheme="minorEastAsia" w:eastAsiaTheme="minorEastAsia" w:cstheme="minorEastAsia"/>
          <w:b/>
          <w:bCs/>
          <w:sz w:val="24"/>
          <w:szCs w:val="24"/>
        </w:rPr>
      </w:pPr>
      <w:r>
        <w:rPr>
          <w:rStyle w:val="5"/>
          <w:rFonts w:hint="eastAsia" w:asciiTheme="minorEastAsia" w:hAnsiTheme="minorEastAsia" w:eastAsiaTheme="minorEastAsia" w:cstheme="minorEastAsia"/>
          <w:b/>
          <w:bCs/>
          <w:sz w:val="24"/>
          <w:szCs w:val="24"/>
        </w:rPr>
        <w:t>（二）办理医保信息转移手续和交费参保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0" w:afterAutospacing="0" w:line="540" w:lineRule="exact"/>
        <w:ind w:left="0" w:right="0" w:firstLine="465"/>
        <w:textAlignment w:val="auto"/>
        <w:rPr>
          <w:rFonts w:hint="eastAsia" w:asciiTheme="minorEastAsia" w:hAnsiTheme="minorEastAsia" w:eastAsiaTheme="minorEastAsia" w:cstheme="minorEastAsia"/>
          <w:b/>
          <w:bCs/>
          <w:sz w:val="24"/>
          <w:szCs w:val="24"/>
        </w:rPr>
      </w:pPr>
      <w:r>
        <w:rPr>
          <w:rStyle w:val="5"/>
          <w:rFonts w:hint="eastAsia" w:asciiTheme="minorEastAsia" w:hAnsiTheme="minorEastAsia" w:eastAsiaTheme="minorEastAsia" w:cstheme="minorEastAsia"/>
          <w:b/>
          <w:bCs/>
          <w:sz w:val="24"/>
          <w:szCs w:val="24"/>
        </w:rPr>
        <w:t>1.参加职工医保的毕业生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0" w:afterAutospacing="0" w:line="540" w:lineRule="exact"/>
        <w:ind w:left="0" w:right="0" w:firstLine="465"/>
        <w:textAlignment w:val="auto"/>
        <w:rPr>
          <w:rFonts w:hint="eastAsia" w:asciiTheme="minorEastAsia" w:hAnsiTheme="minorEastAsia" w:eastAsiaTheme="minorEastAsia" w:cstheme="minorEastAsia"/>
          <w:b w:val="0"/>
          <w:bCs w:val="0"/>
          <w:sz w:val="24"/>
          <w:szCs w:val="24"/>
        </w:rPr>
      </w:pPr>
      <w:r>
        <w:rPr>
          <w:rStyle w:val="5"/>
          <w:rFonts w:hint="eastAsia" w:asciiTheme="minorEastAsia" w:hAnsiTheme="minorEastAsia" w:eastAsiaTheme="minorEastAsia" w:cstheme="minorEastAsia"/>
          <w:b w:val="0"/>
          <w:bCs w:val="0"/>
          <w:sz w:val="24"/>
          <w:szCs w:val="24"/>
        </w:rPr>
        <w:t>由单位经办人在职工医保系统给毕业生做增员手续；增员手续完成后，单位即可按月给毕业生缴费参保，毕业生最快可从2024年7月开始生效，逐月参加职工医保。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0" w:afterAutospacing="0" w:line="540" w:lineRule="exact"/>
        <w:ind w:left="0" w:right="0" w:firstLine="465"/>
        <w:textAlignment w:val="auto"/>
        <w:rPr>
          <w:rStyle w:val="5"/>
          <w:rFonts w:hint="eastAsia" w:asciiTheme="minorEastAsia" w:hAnsiTheme="minorEastAsia" w:eastAsiaTheme="minorEastAsia" w:cstheme="minorEastAsia"/>
          <w:b w:val="0"/>
          <w:bCs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0" w:afterAutospacing="0" w:line="540" w:lineRule="exact"/>
        <w:ind w:left="0" w:right="0" w:firstLine="465"/>
        <w:textAlignment w:val="auto"/>
        <w:rPr>
          <w:rFonts w:hint="eastAsia" w:asciiTheme="minorEastAsia" w:hAnsiTheme="minorEastAsia" w:eastAsiaTheme="minorEastAsia" w:cstheme="minorEastAsia"/>
          <w:b/>
          <w:bCs/>
          <w:sz w:val="24"/>
          <w:szCs w:val="24"/>
        </w:rPr>
      </w:pPr>
      <w:r>
        <w:rPr>
          <w:rStyle w:val="5"/>
          <w:rFonts w:hint="eastAsia" w:asciiTheme="minorEastAsia" w:hAnsiTheme="minorEastAsia" w:eastAsiaTheme="minorEastAsia" w:cstheme="minorEastAsia"/>
          <w:b/>
          <w:bCs/>
          <w:sz w:val="24"/>
          <w:szCs w:val="24"/>
        </w:rPr>
        <w:t>2.参加居民医保的毕业生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0" w:afterAutospacing="0" w:line="540" w:lineRule="exact"/>
        <w:ind w:left="0" w:right="0" w:firstLine="465"/>
        <w:textAlignment w:val="auto"/>
        <w:rPr>
          <w:rFonts w:hint="eastAsia" w:asciiTheme="minorEastAsia" w:hAnsiTheme="minorEastAsia" w:eastAsiaTheme="minorEastAsia" w:cstheme="minorEastAsia"/>
          <w:b w:val="0"/>
          <w:bCs w:val="0"/>
          <w:sz w:val="24"/>
          <w:szCs w:val="24"/>
        </w:rPr>
      </w:pPr>
      <w:r>
        <w:rPr>
          <w:rStyle w:val="5"/>
          <w:rFonts w:hint="eastAsia" w:asciiTheme="minorEastAsia" w:hAnsiTheme="minorEastAsia" w:eastAsiaTheme="minorEastAsia" w:cstheme="minorEastAsia"/>
          <w:b w:val="0"/>
          <w:bCs w:val="0"/>
          <w:sz w:val="24"/>
          <w:szCs w:val="24"/>
        </w:rPr>
        <w:t>（1）在湖北省内参加居民医保的毕业生，在毕业当年年底之前选择合适时机通过“湖北医疗保障”微信公众号的“参保登记”功能，选择参保地进行信息登记，登记完成后再在支付宝或去当地银行缴费。最快可从2025年1月开始生效，逐年参加居民医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0" w:afterAutospacing="0" w:line="540" w:lineRule="exact"/>
        <w:ind w:left="0" w:right="0" w:firstLine="465"/>
        <w:textAlignment w:val="auto"/>
        <w:rPr>
          <w:rFonts w:hint="eastAsia" w:asciiTheme="minorEastAsia" w:hAnsiTheme="minorEastAsia" w:eastAsiaTheme="minorEastAsia" w:cstheme="minorEastAsia"/>
          <w:b w:val="0"/>
          <w:bCs w:val="0"/>
          <w:sz w:val="24"/>
          <w:szCs w:val="24"/>
        </w:rPr>
      </w:pPr>
      <w:r>
        <w:rPr>
          <w:rStyle w:val="5"/>
          <w:rFonts w:hint="eastAsia" w:asciiTheme="minorEastAsia" w:hAnsiTheme="minorEastAsia" w:eastAsiaTheme="minorEastAsia" w:cstheme="minorEastAsia"/>
          <w:b w:val="0"/>
          <w:bCs w:val="0"/>
          <w:sz w:val="24"/>
          <w:szCs w:val="24"/>
        </w:rPr>
        <w:t>（2）在湖北省外参加居民医保的毕业生，在毕业当年年底之前选择合适时机去参保地的医保局专项办理窗口进行信息登记和交费。最快可从2025年1月开始生效，逐年参加居民医保。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0" w:afterAutospacing="0" w:line="540" w:lineRule="exact"/>
        <w:ind w:left="0" w:right="0" w:firstLine="465"/>
        <w:textAlignment w:val="auto"/>
        <w:rPr>
          <w:rFonts w:hint="eastAsia" w:asciiTheme="minorEastAsia" w:hAnsiTheme="minorEastAsia" w:eastAsiaTheme="minorEastAsia" w:cstheme="minorEastAsia"/>
          <w:b/>
          <w:bCs/>
          <w:sz w:val="24"/>
          <w:szCs w:val="24"/>
        </w:rPr>
      </w:pPr>
      <w:r>
        <w:rPr>
          <w:rStyle w:val="5"/>
          <w:rFonts w:hint="eastAsia" w:asciiTheme="minorEastAsia" w:hAnsiTheme="minorEastAsia" w:eastAsiaTheme="minorEastAsia" w:cstheme="minorEastAsia"/>
          <w:b/>
          <w:bCs/>
          <w:color w:val="C20000"/>
          <w:sz w:val="24"/>
          <w:szCs w:val="24"/>
        </w:rPr>
        <w:t>请毕业生注意！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0" w:afterAutospacing="0" w:line="540" w:lineRule="exact"/>
        <w:ind w:left="0" w:right="0" w:firstLine="465"/>
        <w:textAlignment w:val="auto"/>
        <w:rPr>
          <w:rFonts w:hint="eastAsia" w:asciiTheme="minorEastAsia" w:hAnsiTheme="minorEastAsia" w:eastAsiaTheme="minorEastAsia" w:cstheme="minorEastAsia"/>
          <w:b/>
          <w:bCs/>
          <w:sz w:val="24"/>
          <w:szCs w:val="24"/>
        </w:rPr>
      </w:pPr>
      <w:r>
        <w:rPr>
          <w:rStyle w:val="5"/>
          <w:rFonts w:hint="eastAsia" w:asciiTheme="minorEastAsia" w:hAnsiTheme="minorEastAsia" w:eastAsiaTheme="minorEastAsia" w:cstheme="minorEastAsia"/>
          <w:b/>
          <w:bCs/>
          <w:color w:val="C20000"/>
          <w:sz w:val="24"/>
          <w:szCs w:val="24"/>
        </w:rPr>
        <w:t>若毕业生没有完成暂停大学生医保的操作而直接在当地居民医保系统缴费，则</w:t>
      </w:r>
      <w:r>
        <w:rPr>
          <w:rStyle w:val="5"/>
          <w:rFonts w:hint="eastAsia" w:asciiTheme="minorEastAsia" w:hAnsiTheme="minorEastAsia" w:cstheme="minorEastAsia"/>
          <w:b/>
          <w:bCs/>
          <w:color w:val="C20000"/>
          <w:sz w:val="24"/>
          <w:szCs w:val="24"/>
          <w:lang w:val="en-US" w:eastAsia="zh-CN"/>
        </w:rPr>
        <w:t>次</w:t>
      </w:r>
      <w:r>
        <w:rPr>
          <w:rStyle w:val="5"/>
          <w:rFonts w:hint="eastAsia" w:asciiTheme="minorEastAsia" w:hAnsiTheme="minorEastAsia" w:eastAsiaTheme="minorEastAsia" w:cstheme="minorEastAsia"/>
          <w:b/>
          <w:bCs/>
          <w:color w:val="C20000"/>
          <w:sz w:val="24"/>
          <w:szCs w:val="24"/>
        </w:rPr>
        <w:t>年依然会参保到学校来！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140" w:afterAutospacing="0" w:line="540" w:lineRule="exact"/>
        <w:ind w:left="0" w:right="0" w:firstLine="465"/>
        <w:jc w:val="left"/>
        <w:textAlignment w:val="auto"/>
        <w:rPr>
          <w:rStyle w:val="5"/>
          <w:rFonts w:hint="eastAsia" w:asciiTheme="minorEastAsia" w:hAnsiTheme="minorEastAsia" w:eastAsiaTheme="minorEastAsia" w:cstheme="minorEastAsia"/>
          <w:b/>
          <w:bCs/>
          <w:sz w:val="24"/>
          <w:szCs w:val="24"/>
        </w:rPr>
      </w:pPr>
      <w:r>
        <w:rPr>
          <w:rStyle w:val="5"/>
          <w:rFonts w:hint="eastAsia" w:asciiTheme="minorEastAsia" w:hAnsiTheme="minorEastAsia" w:eastAsiaTheme="minorEastAsia" w:cstheme="minorEastAsia"/>
          <w:b/>
          <w:bCs/>
          <w:sz w:val="24"/>
          <w:szCs w:val="24"/>
        </w:rPr>
        <w:t>三、过渡期间医疗报销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0" w:afterAutospacing="0" w:line="540" w:lineRule="exact"/>
        <w:ind w:left="0" w:right="0" w:firstLine="465"/>
        <w:textAlignment w:val="auto"/>
        <w:rPr>
          <w:rFonts w:hint="eastAsia" w:asciiTheme="minorEastAsia" w:hAnsiTheme="minorEastAsia" w:eastAsiaTheme="minorEastAsia" w:cstheme="minorEastAsia"/>
          <w:b w:val="0"/>
          <w:bCs w:val="0"/>
          <w:sz w:val="24"/>
          <w:szCs w:val="24"/>
        </w:rPr>
      </w:pPr>
      <w:r>
        <w:rPr>
          <w:rStyle w:val="5"/>
          <w:rFonts w:hint="eastAsia" w:asciiTheme="minorEastAsia" w:hAnsiTheme="minorEastAsia" w:eastAsiaTheme="minorEastAsia" w:cstheme="minorEastAsia"/>
          <w:b w:val="0"/>
          <w:bCs w:val="0"/>
          <w:sz w:val="24"/>
          <w:szCs w:val="24"/>
        </w:rPr>
        <w:t>毕业生在医保转接生效之前，因各种正常原因（不含打架斗殴、第三方责任事故等）造成的住院费，依旧可以通过大学生医保进行报销。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40" w:afterAutospacing="0" w:line="540" w:lineRule="exact"/>
        <w:ind w:left="0" w:right="0" w:firstLine="465"/>
        <w:textAlignment w:val="auto"/>
        <w:rPr>
          <w:rFonts w:hint="eastAsia" w:asciiTheme="minorEastAsia" w:hAnsiTheme="minorEastAsia" w:eastAsiaTheme="minorEastAsia" w:cstheme="minorEastAsia"/>
          <w:b w:val="0"/>
          <w:bCs w:val="0"/>
          <w:sz w:val="24"/>
          <w:szCs w:val="24"/>
        </w:rPr>
      </w:pPr>
      <w:r>
        <w:rPr>
          <w:rStyle w:val="5"/>
          <w:rFonts w:hint="eastAsia" w:asciiTheme="minorEastAsia" w:hAnsiTheme="minorEastAsia" w:eastAsiaTheme="minorEastAsia" w:cstheme="minorEastAsia"/>
          <w:b w:val="0"/>
          <w:bCs w:val="0"/>
          <w:sz w:val="24"/>
          <w:szCs w:val="24"/>
        </w:rPr>
        <w:t>报销方式如下：在武汉市内医院住院的</w:t>
      </w:r>
      <w:r>
        <w:rPr>
          <w:rStyle w:val="5"/>
          <w:rFonts w:hint="eastAsia" w:asciiTheme="minorEastAsia" w:hAnsiTheme="minorEastAsia" w:cstheme="minorEastAsia"/>
          <w:b w:val="0"/>
          <w:bCs w:val="0"/>
          <w:sz w:val="24"/>
          <w:szCs w:val="24"/>
          <w:lang w:eastAsia="zh-CN"/>
        </w:rPr>
        <w:t>，</w:t>
      </w:r>
      <w:r>
        <w:rPr>
          <w:rStyle w:val="5"/>
          <w:rFonts w:hint="eastAsia" w:asciiTheme="minorEastAsia" w:hAnsiTheme="minorEastAsia" w:eastAsiaTheme="minorEastAsia" w:cstheme="minorEastAsia"/>
          <w:b w:val="0"/>
          <w:bCs w:val="0"/>
          <w:sz w:val="24"/>
          <w:szCs w:val="24"/>
        </w:rPr>
        <w:t>出示电子医保卡</w:t>
      </w:r>
      <w:r>
        <w:rPr>
          <w:rStyle w:val="5"/>
          <w:rFonts w:hint="eastAsia" w:asciiTheme="minorEastAsia" w:hAnsiTheme="minorEastAsia" w:cstheme="minorEastAsia"/>
          <w:b w:val="0"/>
          <w:bCs w:val="0"/>
          <w:sz w:val="24"/>
          <w:szCs w:val="24"/>
          <w:lang w:eastAsia="zh-CN"/>
        </w:rPr>
        <w:t>（</w:t>
      </w:r>
      <w:r>
        <w:rPr>
          <w:rStyle w:val="5"/>
          <w:rFonts w:hint="eastAsia" w:asciiTheme="minorEastAsia" w:hAnsiTheme="minorEastAsia" w:cstheme="minorEastAsia"/>
          <w:b w:val="0"/>
          <w:bCs w:val="0"/>
          <w:sz w:val="24"/>
          <w:szCs w:val="24"/>
          <w:lang w:val="en-US" w:eastAsia="zh-CN"/>
        </w:rPr>
        <w:t>可通过支付宝申领）</w:t>
      </w:r>
      <w:r>
        <w:rPr>
          <w:rStyle w:val="5"/>
          <w:rFonts w:hint="eastAsia" w:asciiTheme="minorEastAsia" w:hAnsiTheme="minorEastAsia" w:eastAsiaTheme="minorEastAsia" w:cstheme="minorEastAsia"/>
          <w:b w:val="0"/>
          <w:bCs w:val="0"/>
          <w:sz w:val="24"/>
          <w:szCs w:val="24"/>
        </w:rPr>
        <w:t>，出院结算时直接现场医保结算报销；在非武汉市住院的，通过“国家异地就医备案”微信小程序或“鄂汇办APP”</w:t>
      </w:r>
      <w:r>
        <w:rPr>
          <w:rStyle w:val="5"/>
          <w:rFonts w:hint="eastAsia" w:asciiTheme="minorEastAsia" w:hAnsiTheme="minorEastAsia" w:cstheme="minorEastAsia"/>
          <w:b w:val="0"/>
          <w:bCs w:val="0"/>
          <w:sz w:val="24"/>
          <w:szCs w:val="24"/>
          <w:lang w:val="en-US" w:eastAsia="zh-CN"/>
        </w:rPr>
        <w:t>住院前</w:t>
      </w:r>
      <w:r>
        <w:rPr>
          <w:rStyle w:val="5"/>
          <w:rFonts w:hint="eastAsia" w:asciiTheme="minorEastAsia" w:hAnsiTheme="minorEastAsia" w:eastAsiaTheme="minorEastAsia" w:cstheme="minorEastAsia"/>
          <w:b w:val="0"/>
          <w:bCs w:val="0"/>
          <w:sz w:val="24"/>
          <w:szCs w:val="24"/>
        </w:rPr>
        <w:t>进行异地就医备案操作，出院时</w:t>
      </w:r>
      <w:r>
        <w:rPr>
          <w:rStyle w:val="5"/>
          <w:rFonts w:hint="eastAsia" w:asciiTheme="minorEastAsia" w:hAnsiTheme="minorEastAsia" w:cstheme="minorEastAsia"/>
          <w:b w:val="0"/>
          <w:bCs w:val="0"/>
          <w:sz w:val="24"/>
          <w:szCs w:val="24"/>
          <w:lang w:val="en-US" w:eastAsia="zh-CN"/>
        </w:rPr>
        <w:t>也可</w:t>
      </w:r>
      <w:r>
        <w:rPr>
          <w:rStyle w:val="5"/>
          <w:rFonts w:hint="eastAsia" w:asciiTheme="minorEastAsia" w:hAnsiTheme="minorEastAsia" w:eastAsiaTheme="minorEastAsia" w:cstheme="minorEastAsia"/>
          <w:b w:val="0"/>
          <w:bCs w:val="0"/>
          <w:sz w:val="24"/>
          <w:szCs w:val="24"/>
        </w:rPr>
        <w:t>现场结算报销。</w:t>
      </w:r>
      <w:bookmarkStart w:id="0" w:name="_GoBack"/>
      <w:bookmarkEnd w:id="0"/>
    </w:p>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val="0"/>
          <w:bCs w:val="0"/>
          <w:sz w:val="24"/>
          <w:szCs w:val="24"/>
        </w:rPr>
      </w:pPr>
    </w:p>
    <w:p>
      <w:pPr>
        <w:keepNext w:val="0"/>
        <w:keepLines w:val="0"/>
        <w:pageBreakBefore w:val="0"/>
        <w:kinsoku/>
        <w:wordWrap/>
        <w:overflowPunct/>
        <w:topLinePunct w:val="0"/>
        <w:autoSpaceDE/>
        <w:autoSpaceDN/>
        <w:bidi w:val="0"/>
        <w:adjustRightInd/>
        <w:snapToGrid/>
        <w:spacing w:line="540" w:lineRule="exact"/>
        <w:textAlignment w:val="auto"/>
        <w:rPr>
          <w:rFonts w:hint="eastAsia" w:asciiTheme="minorEastAsia" w:hAnsiTheme="minorEastAsia" w:eastAsiaTheme="minorEastAsia" w:cstheme="minorEastAsia"/>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E705B"/>
    <w:rsid w:val="1CAE705B"/>
    <w:rsid w:val="70CD77A6"/>
    <w:rsid w:val="7F515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701</Words>
  <Characters>718</Characters>
  <Lines>0</Lines>
  <Paragraphs>0</Paragraphs>
  <TotalTime>7</TotalTime>
  <ScaleCrop>false</ScaleCrop>
  <LinksUpToDate>false</LinksUpToDate>
  <CharactersWithSpaces>718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2024-06-14T02:34:00Z</dcterms:created>
  <dc:creator>97084</dc:creator>
  <cp:lastModifiedBy>Chen</cp:lastModifiedBy>
  <dcterms:modified xsi:type="dcterms:W3CDTF">2024-06-25T06:24:20Z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1C446F47A60D4534A39B55678303955A_13</vt:lpwstr>
  </property>
</Properties>
</file>